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8A4B" w14:textId="73FCB6DB" w:rsidR="00E276A4" w:rsidRDefault="00707B0C" w:rsidP="00016C51">
      <w:pPr>
        <w:pStyle w:val="Heading1"/>
      </w:pPr>
      <w:r>
        <w:rPr>
          <w:color w:val="7E1144"/>
        </w:rPr>
        <w:t xml:space="preserve">Full-year </w:t>
      </w:r>
      <w:r w:rsidR="00016C51" w:rsidRPr="00707B0C">
        <w:rPr>
          <w:color w:val="7E1144"/>
        </w:rPr>
        <w:t>p</w:t>
      </w:r>
      <w:r w:rsidR="004B4544" w:rsidRPr="00707B0C">
        <w:rPr>
          <w:color w:val="7E1144"/>
        </w:rPr>
        <w:t>lan: Mathematics and Statistics</w:t>
      </w:r>
      <w:r w:rsidR="00016C51" w:rsidRPr="00707B0C">
        <w:rPr>
          <w:color w:val="7E1144"/>
        </w:rPr>
        <w:t xml:space="preserve">, </w:t>
      </w:r>
      <w:r w:rsidR="009129A1" w:rsidRPr="00707B0C">
        <w:rPr>
          <w:color w:val="7E1144"/>
        </w:rPr>
        <w:t>late</w:t>
      </w:r>
      <w:r w:rsidR="00016C51" w:rsidRPr="00707B0C">
        <w:rPr>
          <w:color w:val="7E1144"/>
        </w:rPr>
        <w:t xml:space="preserve"> level </w:t>
      </w:r>
      <w:r w:rsidR="00830D74" w:rsidRPr="00707B0C">
        <w:rPr>
          <w:color w:val="7E1144"/>
        </w:rPr>
        <w:t>three</w:t>
      </w:r>
    </w:p>
    <w:p w14:paraId="645FCDF6" w14:textId="77777777" w:rsidR="00D83645" w:rsidRPr="00707B0C" w:rsidRDefault="00D83645" w:rsidP="00D83645">
      <w:pPr>
        <w:rPr>
          <w:sz w:val="16"/>
          <w:szCs w:val="16"/>
        </w:rPr>
      </w:pPr>
    </w:p>
    <w:tbl>
      <w:tblPr>
        <w:tblStyle w:val="TableGrid"/>
        <w:tblW w:w="0" w:type="auto"/>
        <w:tblLook w:val="04A0" w:firstRow="1" w:lastRow="0" w:firstColumn="1" w:lastColumn="0" w:noHBand="0" w:noVBand="1"/>
      </w:tblPr>
      <w:tblGrid>
        <w:gridCol w:w="3566"/>
        <w:gridCol w:w="3567"/>
        <w:gridCol w:w="3566"/>
        <w:gridCol w:w="3567"/>
      </w:tblGrid>
      <w:tr w:rsidR="00C33A72" w14:paraId="1D77BA74" w14:textId="77777777" w:rsidTr="00A17176">
        <w:trPr>
          <w:trHeight w:val="678"/>
        </w:trPr>
        <w:tc>
          <w:tcPr>
            <w:tcW w:w="3566" w:type="dxa"/>
          </w:tcPr>
          <w:p w14:paraId="3E44B5B9" w14:textId="3B81998C" w:rsidR="00C33A72" w:rsidRPr="00B815B5" w:rsidRDefault="00C33A72" w:rsidP="00761997">
            <w:pPr>
              <w:spacing w:before="80" w:afterLines="80" w:after="192"/>
              <w:jc w:val="center"/>
              <w:rPr>
                <w:sz w:val="24"/>
                <w:szCs w:val="24"/>
              </w:rPr>
            </w:pPr>
            <w:r w:rsidRPr="00B815B5">
              <w:rPr>
                <w:sz w:val="24"/>
                <w:szCs w:val="24"/>
              </w:rPr>
              <w:t>Term One</w:t>
            </w:r>
          </w:p>
        </w:tc>
        <w:tc>
          <w:tcPr>
            <w:tcW w:w="3567" w:type="dxa"/>
          </w:tcPr>
          <w:p w14:paraId="6CFC5804" w14:textId="2B394005" w:rsidR="00C33A72" w:rsidRPr="00B815B5" w:rsidRDefault="00C33A72" w:rsidP="00761997">
            <w:pPr>
              <w:spacing w:before="80" w:afterLines="80" w:after="192"/>
              <w:jc w:val="center"/>
              <w:rPr>
                <w:sz w:val="24"/>
                <w:szCs w:val="24"/>
              </w:rPr>
            </w:pPr>
            <w:r w:rsidRPr="00B815B5">
              <w:rPr>
                <w:sz w:val="24"/>
                <w:szCs w:val="24"/>
              </w:rPr>
              <w:t>Term Two</w:t>
            </w:r>
          </w:p>
        </w:tc>
        <w:tc>
          <w:tcPr>
            <w:tcW w:w="3566" w:type="dxa"/>
          </w:tcPr>
          <w:p w14:paraId="27C97B2E" w14:textId="392CAE0A" w:rsidR="00C33A72" w:rsidRPr="00B815B5" w:rsidRDefault="00C33A72" w:rsidP="00761997">
            <w:pPr>
              <w:spacing w:before="80" w:afterLines="80" w:after="192"/>
              <w:jc w:val="center"/>
              <w:rPr>
                <w:sz w:val="24"/>
                <w:szCs w:val="24"/>
              </w:rPr>
            </w:pPr>
            <w:r w:rsidRPr="00B815B5">
              <w:rPr>
                <w:sz w:val="24"/>
                <w:szCs w:val="24"/>
              </w:rPr>
              <w:t>Term Three</w:t>
            </w:r>
          </w:p>
        </w:tc>
        <w:tc>
          <w:tcPr>
            <w:tcW w:w="3567" w:type="dxa"/>
          </w:tcPr>
          <w:p w14:paraId="77875293" w14:textId="6681F7DE" w:rsidR="00C33A72" w:rsidRPr="00B815B5" w:rsidRDefault="00C33A72" w:rsidP="00761997">
            <w:pPr>
              <w:spacing w:before="80" w:afterLines="80" w:after="192"/>
              <w:jc w:val="center"/>
              <w:rPr>
                <w:sz w:val="24"/>
                <w:szCs w:val="24"/>
              </w:rPr>
            </w:pPr>
            <w:r w:rsidRPr="00B815B5">
              <w:rPr>
                <w:sz w:val="24"/>
                <w:szCs w:val="24"/>
              </w:rPr>
              <w:t>Term Four</w:t>
            </w:r>
          </w:p>
        </w:tc>
      </w:tr>
      <w:tr w:rsidR="00C33A72" w14:paraId="511C068B" w14:textId="77777777" w:rsidTr="00933F60">
        <w:trPr>
          <w:trHeight w:val="659"/>
        </w:trPr>
        <w:tc>
          <w:tcPr>
            <w:tcW w:w="3566" w:type="dxa"/>
            <w:vMerge w:val="restart"/>
            <w:shd w:val="clear" w:color="auto" w:fill="auto"/>
          </w:tcPr>
          <w:p w14:paraId="1019F3AC" w14:textId="542392B0" w:rsidR="00C33A72" w:rsidRPr="0028493E" w:rsidRDefault="00000000" w:rsidP="00761997">
            <w:pPr>
              <w:spacing w:before="80" w:afterLines="80" w:after="192"/>
              <w:jc w:val="center"/>
              <w:rPr>
                <w:rStyle w:val="Hyperlink"/>
              </w:rPr>
            </w:pPr>
            <w:hyperlink r:id="rId8" w:history="1">
              <w:r w:rsidR="00C33A72" w:rsidRPr="0028493E">
                <w:rPr>
                  <w:rStyle w:val="Hyperlink"/>
                </w:rPr>
                <w:t>Houses</w:t>
              </w:r>
            </w:hyperlink>
          </w:p>
          <w:p w14:paraId="3D547E1A" w14:textId="69437168" w:rsidR="00C33A72" w:rsidRDefault="00C33A72" w:rsidP="00761997">
            <w:pPr>
              <w:spacing w:before="80" w:afterLines="80" w:after="192"/>
              <w:jc w:val="center"/>
            </w:pPr>
            <w:r>
              <w:t>(</w:t>
            </w:r>
            <w:r w:rsidR="00761997">
              <w:t>Thematic unit</w:t>
            </w:r>
            <w:r>
              <w:t>)</w:t>
            </w:r>
          </w:p>
        </w:tc>
        <w:tc>
          <w:tcPr>
            <w:tcW w:w="3567" w:type="dxa"/>
            <w:vMerge w:val="restart"/>
            <w:shd w:val="clear" w:color="auto" w:fill="auto"/>
          </w:tcPr>
          <w:p w14:paraId="74D8B883" w14:textId="7FBFB53D" w:rsidR="00C33A72" w:rsidRPr="0028493E" w:rsidRDefault="00000000" w:rsidP="00761997">
            <w:pPr>
              <w:spacing w:before="80" w:afterLines="80" w:after="192"/>
              <w:jc w:val="center"/>
              <w:rPr>
                <w:rStyle w:val="Hyperlink"/>
              </w:rPr>
            </w:pPr>
            <w:hyperlink r:id="rId9" w:history="1">
              <w:r w:rsidR="00C33A72" w:rsidRPr="0028493E">
                <w:rPr>
                  <w:rStyle w:val="Hyperlink"/>
                </w:rPr>
                <w:t>Fill It Up</w:t>
              </w:r>
              <w:r w:rsidR="00C33A72">
                <w:rPr>
                  <w:rStyle w:val="Hyperlink"/>
                </w:rPr>
                <w:t xml:space="preserve"> </w:t>
              </w:r>
              <w:r w:rsidR="00C33A72" w:rsidRPr="0028493E">
                <w:rPr>
                  <w:rStyle w:val="Hyperlink"/>
                </w:rPr>
                <w:t>- Flat Space</w:t>
              </w:r>
            </w:hyperlink>
          </w:p>
          <w:p w14:paraId="6D7670C0" w14:textId="3952BEB0" w:rsidR="00C33A72" w:rsidRPr="009D1F60" w:rsidRDefault="00C33A72" w:rsidP="00761997">
            <w:pPr>
              <w:spacing w:before="80" w:afterLines="80" w:after="192"/>
              <w:jc w:val="center"/>
            </w:pPr>
            <w:r>
              <w:rPr>
                <w:rStyle w:val="Hyperlink"/>
                <w:color w:val="000000" w:themeColor="text1"/>
                <w:u w:val="none"/>
              </w:rPr>
              <w:t>(</w:t>
            </w:r>
            <w:r w:rsidRPr="009D1F60">
              <w:rPr>
                <w:rStyle w:val="Hyperlink"/>
                <w:color w:val="000000" w:themeColor="text1"/>
                <w:u w:val="none"/>
              </w:rPr>
              <w:t>Measuring area</w:t>
            </w:r>
            <w:r>
              <w:rPr>
                <w:rStyle w:val="Hyperlink"/>
                <w:color w:val="000000" w:themeColor="text1"/>
                <w:u w:val="none"/>
              </w:rPr>
              <w:t>)</w:t>
            </w:r>
          </w:p>
        </w:tc>
        <w:tc>
          <w:tcPr>
            <w:tcW w:w="3566" w:type="dxa"/>
            <w:vMerge w:val="restart"/>
          </w:tcPr>
          <w:p w14:paraId="7DCE5A66" w14:textId="3EBFDE01" w:rsidR="00C33A72" w:rsidRPr="0028493E" w:rsidRDefault="00000000" w:rsidP="00761997">
            <w:pPr>
              <w:spacing w:before="80" w:afterLines="80" w:after="192"/>
              <w:jc w:val="center"/>
            </w:pPr>
            <w:hyperlink r:id="rId10" w:history="1">
              <w:r w:rsidR="00C33A72" w:rsidRPr="0028493E">
                <w:rPr>
                  <w:rStyle w:val="Hyperlink"/>
                </w:rPr>
                <w:t>Fraction Benchmarks</w:t>
              </w:r>
            </w:hyperlink>
            <w:r w:rsidR="00C33A72" w:rsidRPr="0028493E">
              <w:t xml:space="preserve"> </w:t>
            </w:r>
          </w:p>
          <w:p w14:paraId="73D076A0" w14:textId="507CD626" w:rsidR="00C33A72" w:rsidRDefault="00C33A72" w:rsidP="00761997">
            <w:pPr>
              <w:spacing w:before="80" w:afterLines="80" w:after="192"/>
              <w:jc w:val="center"/>
            </w:pPr>
            <w:r>
              <w:t>(</w:t>
            </w:r>
            <w:r w:rsidRPr="0028493E">
              <w:t>Ordering fractional numbers</w:t>
            </w:r>
            <w:r>
              <w:t>)</w:t>
            </w:r>
          </w:p>
        </w:tc>
        <w:tc>
          <w:tcPr>
            <w:tcW w:w="3567" w:type="dxa"/>
            <w:vMerge w:val="restart"/>
          </w:tcPr>
          <w:p w14:paraId="7B74ED9E" w14:textId="61EDE768" w:rsidR="00C33A72" w:rsidRPr="0028493E" w:rsidRDefault="00000000" w:rsidP="00761997">
            <w:pPr>
              <w:spacing w:before="80" w:afterLines="80" w:after="192"/>
              <w:jc w:val="center"/>
              <w:rPr>
                <w:rStyle w:val="Hyperlink"/>
              </w:rPr>
            </w:pPr>
            <w:hyperlink r:id="rId11" w:history="1">
              <w:r w:rsidR="00C33A72" w:rsidRPr="0028493E">
                <w:rPr>
                  <w:rStyle w:val="Hyperlink"/>
                </w:rPr>
                <w:t>Slosh, Dribble and Plop</w:t>
              </w:r>
            </w:hyperlink>
          </w:p>
          <w:p w14:paraId="1F63C227" w14:textId="21467332"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Measuring with capacity, metric units for capacity</w:t>
            </w:r>
            <w:r>
              <w:rPr>
                <w:rStyle w:val="Hyperlink"/>
                <w:color w:val="000000" w:themeColor="text1"/>
                <w:u w:val="none"/>
              </w:rPr>
              <w:t>)</w:t>
            </w:r>
          </w:p>
        </w:tc>
      </w:tr>
      <w:tr w:rsidR="00C33A72" w14:paraId="0BD7A75E" w14:textId="77777777" w:rsidTr="00A17176">
        <w:trPr>
          <w:trHeight w:val="653"/>
        </w:trPr>
        <w:tc>
          <w:tcPr>
            <w:tcW w:w="3566" w:type="dxa"/>
            <w:vMerge/>
            <w:shd w:val="clear" w:color="auto" w:fill="auto"/>
          </w:tcPr>
          <w:p w14:paraId="4F67C31D" w14:textId="77777777" w:rsidR="00C33A72" w:rsidRDefault="00C33A72" w:rsidP="00761997">
            <w:pPr>
              <w:spacing w:before="80" w:afterLines="80" w:after="192"/>
              <w:jc w:val="center"/>
            </w:pPr>
          </w:p>
        </w:tc>
        <w:tc>
          <w:tcPr>
            <w:tcW w:w="3567" w:type="dxa"/>
            <w:vMerge/>
            <w:shd w:val="clear" w:color="auto" w:fill="auto"/>
          </w:tcPr>
          <w:p w14:paraId="5AB50241" w14:textId="77777777" w:rsidR="00C33A72" w:rsidRDefault="00C33A72" w:rsidP="00761997">
            <w:pPr>
              <w:spacing w:before="80" w:afterLines="80" w:after="192"/>
              <w:jc w:val="center"/>
            </w:pPr>
          </w:p>
        </w:tc>
        <w:tc>
          <w:tcPr>
            <w:tcW w:w="3566" w:type="dxa"/>
            <w:vMerge/>
          </w:tcPr>
          <w:p w14:paraId="6D2465D5" w14:textId="77777777" w:rsidR="00C33A72" w:rsidRDefault="00C33A72" w:rsidP="00761997">
            <w:pPr>
              <w:spacing w:before="80" w:afterLines="80" w:after="192"/>
              <w:jc w:val="center"/>
            </w:pPr>
          </w:p>
        </w:tc>
        <w:tc>
          <w:tcPr>
            <w:tcW w:w="3567" w:type="dxa"/>
            <w:vMerge/>
          </w:tcPr>
          <w:p w14:paraId="28637DA3" w14:textId="77777777" w:rsidR="00C33A72" w:rsidRDefault="00C33A72" w:rsidP="00761997">
            <w:pPr>
              <w:spacing w:before="80" w:afterLines="80" w:after="192"/>
              <w:jc w:val="center"/>
            </w:pPr>
          </w:p>
        </w:tc>
      </w:tr>
      <w:tr w:rsidR="00C33A72" w14:paraId="7019D7F9" w14:textId="77777777" w:rsidTr="00A17176">
        <w:trPr>
          <w:trHeight w:val="659"/>
        </w:trPr>
        <w:tc>
          <w:tcPr>
            <w:tcW w:w="3566" w:type="dxa"/>
            <w:vMerge w:val="restart"/>
            <w:shd w:val="clear" w:color="auto" w:fill="auto"/>
          </w:tcPr>
          <w:p w14:paraId="72E77A25" w14:textId="69305563" w:rsidR="00C33A72" w:rsidRDefault="00000000" w:rsidP="00761997">
            <w:pPr>
              <w:spacing w:before="80" w:afterLines="80" w:after="192"/>
              <w:jc w:val="center"/>
            </w:pPr>
            <w:hyperlink r:id="rId12" w:history="1">
              <w:r w:rsidR="00C33A72" w:rsidRPr="00AE230B">
                <w:rPr>
                  <w:rStyle w:val="Hyperlink"/>
                </w:rPr>
                <w:t>Place value with whole numbers</w:t>
              </w:r>
            </w:hyperlink>
          </w:p>
          <w:p w14:paraId="07B2228E" w14:textId="6FE65FF0" w:rsidR="00C33A72" w:rsidRDefault="00C33A72" w:rsidP="00761997">
            <w:pPr>
              <w:spacing w:before="80" w:afterLines="80" w:after="192"/>
              <w:jc w:val="center"/>
            </w:pPr>
            <w:r>
              <w:t>(Whole numbers)</w:t>
            </w:r>
          </w:p>
        </w:tc>
        <w:tc>
          <w:tcPr>
            <w:tcW w:w="3567" w:type="dxa"/>
            <w:vMerge w:val="restart"/>
            <w:shd w:val="clear" w:color="auto" w:fill="auto"/>
          </w:tcPr>
          <w:p w14:paraId="2CC1BA97" w14:textId="4DA7179C" w:rsidR="00C33A72" w:rsidRPr="0028493E" w:rsidRDefault="00000000" w:rsidP="00761997">
            <w:pPr>
              <w:spacing w:before="80" w:afterLines="80" w:after="192"/>
              <w:jc w:val="center"/>
              <w:rPr>
                <w:rStyle w:val="Hyperlink"/>
              </w:rPr>
            </w:pPr>
            <w:hyperlink r:id="rId13" w:history="1">
              <w:r w:rsidR="00C33A72" w:rsidRPr="0028493E">
                <w:rPr>
                  <w:rStyle w:val="Hyperlink"/>
                </w:rPr>
                <w:t>Starting from Scratch</w:t>
              </w:r>
            </w:hyperlink>
          </w:p>
          <w:p w14:paraId="57E4446D" w14:textId="2CFF9273" w:rsidR="00C33A72" w:rsidRDefault="00C33A72" w:rsidP="00761997">
            <w:pPr>
              <w:spacing w:before="80" w:afterLines="80" w:after="192"/>
              <w:jc w:val="center"/>
            </w:pPr>
            <w:r>
              <w:t>(P</w:t>
            </w:r>
            <w:r w:rsidRPr="0028493E">
              <w:t>roperties of 2D shapes, polygons</w:t>
            </w:r>
            <w:r>
              <w:t>)</w:t>
            </w:r>
          </w:p>
        </w:tc>
        <w:tc>
          <w:tcPr>
            <w:tcW w:w="3566" w:type="dxa"/>
            <w:vMerge w:val="restart"/>
          </w:tcPr>
          <w:p w14:paraId="066C66A3" w14:textId="62F95ADC" w:rsidR="00C33A72" w:rsidRPr="0028493E" w:rsidRDefault="00000000" w:rsidP="00761997">
            <w:pPr>
              <w:spacing w:before="80" w:afterLines="80" w:after="192"/>
              <w:jc w:val="center"/>
              <w:rPr>
                <w:rStyle w:val="Hyperlink"/>
              </w:rPr>
            </w:pPr>
            <w:hyperlink r:id="rId14" w:history="1">
              <w:r w:rsidR="00C33A72" w:rsidRPr="0028493E">
                <w:rPr>
                  <w:rStyle w:val="Hyperlink"/>
                </w:rPr>
                <w:t>Breakaway Bars</w:t>
              </w:r>
            </w:hyperlink>
          </w:p>
          <w:p w14:paraId="6B21F531" w14:textId="0C49F808"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Decimal fractions</w:t>
            </w:r>
            <w:r>
              <w:rPr>
                <w:rStyle w:val="Hyperlink"/>
                <w:color w:val="000000" w:themeColor="text1"/>
                <w:u w:val="none"/>
              </w:rPr>
              <w:t>)</w:t>
            </w:r>
          </w:p>
        </w:tc>
        <w:tc>
          <w:tcPr>
            <w:tcW w:w="3567" w:type="dxa"/>
            <w:vMerge w:val="restart"/>
          </w:tcPr>
          <w:p w14:paraId="6045F6D3" w14:textId="479E79B7" w:rsidR="00C33A72" w:rsidRPr="0028493E" w:rsidRDefault="00000000" w:rsidP="00761997">
            <w:pPr>
              <w:spacing w:before="80" w:afterLines="80" w:after="192"/>
              <w:jc w:val="center"/>
            </w:pPr>
            <w:hyperlink r:id="rId15" w:history="1">
              <w:r w:rsidR="00C33A72" w:rsidRPr="0028493E">
                <w:rPr>
                  <w:rStyle w:val="Hyperlink"/>
                </w:rPr>
                <w:t>Which graph</w:t>
              </w:r>
              <w:r w:rsidR="00AE0FEF">
                <w:rPr>
                  <w:rStyle w:val="Hyperlink"/>
                </w:rPr>
                <w:t>?</w:t>
              </w:r>
            </w:hyperlink>
            <w:r w:rsidR="00C33A72" w:rsidRPr="0028493E">
              <w:t xml:space="preserve"> </w:t>
            </w:r>
          </w:p>
          <w:p w14:paraId="10C852B6" w14:textId="740C84F9" w:rsidR="00C33A72" w:rsidRDefault="00C33A72" w:rsidP="00761997">
            <w:pPr>
              <w:spacing w:before="80" w:afterLines="80" w:after="192"/>
              <w:jc w:val="center"/>
            </w:pPr>
            <w:r>
              <w:t>(</w:t>
            </w:r>
            <w:r w:rsidRPr="0028493E">
              <w:t xml:space="preserve">Interpreting, choosing, </w:t>
            </w:r>
            <w:r w:rsidR="00761997">
              <w:t>and making</w:t>
            </w:r>
            <w:r w:rsidRPr="0028493E">
              <w:t xml:space="preserve"> graphs</w:t>
            </w:r>
            <w:r>
              <w:t>)</w:t>
            </w:r>
          </w:p>
        </w:tc>
      </w:tr>
      <w:tr w:rsidR="00C33A72" w14:paraId="7B182E7D" w14:textId="77777777" w:rsidTr="00A17176">
        <w:trPr>
          <w:trHeight w:val="653"/>
        </w:trPr>
        <w:tc>
          <w:tcPr>
            <w:tcW w:w="3566" w:type="dxa"/>
            <w:vMerge/>
            <w:shd w:val="clear" w:color="auto" w:fill="auto"/>
          </w:tcPr>
          <w:p w14:paraId="70AED9A0" w14:textId="10F9A05B" w:rsidR="00C33A72" w:rsidRDefault="00C33A72" w:rsidP="00761997">
            <w:pPr>
              <w:spacing w:before="80" w:afterLines="80" w:after="192"/>
              <w:jc w:val="center"/>
            </w:pPr>
          </w:p>
        </w:tc>
        <w:tc>
          <w:tcPr>
            <w:tcW w:w="3567" w:type="dxa"/>
            <w:vMerge/>
            <w:shd w:val="clear" w:color="auto" w:fill="auto"/>
          </w:tcPr>
          <w:p w14:paraId="7EDFC476" w14:textId="77777777" w:rsidR="00C33A72" w:rsidRDefault="00C33A72" w:rsidP="00761997">
            <w:pPr>
              <w:spacing w:before="80" w:afterLines="80" w:after="192"/>
              <w:jc w:val="center"/>
            </w:pPr>
          </w:p>
        </w:tc>
        <w:tc>
          <w:tcPr>
            <w:tcW w:w="3566" w:type="dxa"/>
            <w:vMerge/>
          </w:tcPr>
          <w:p w14:paraId="6980CE16" w14:textId="77777777" w:rsidR="00C33A72" w:rsidRDefault="00C33A72" w:rsidP="00761997">
            <w:pPr>
              <w:spacing w:before="80" w:afterLines="80" w:after="192"/>
              <w:jc w:val="center"/>
            </w:pPr>
          </w:p>
        </w:tc>
        <w:tc>
          <w:tcPr>
            <w:tcW w:w="3567" w:type="dxa"/>
            <w:vMerge/>
          </w:tcPr>
          <w:p w14:paraId="0D6F1F80" w14:textId="77777777" w:rsidR="00C33A72" w:rsidRDefault="00C33A72" w:rsidP="00761997">
            <w:pPr>
              <w:spacing w:before="80" w:afterLines="80" w:after="192"/>
              <w:jc w:val="center"/>
            </w:pPr>
          </w:p>
        </w:tc>
      </w:tr>
      <w:tr w:rsidR="00C33A72" w14:paraId="530ACF84" w14:textId="77777777" w:rsidTr="00A17176">
        <w:trPr>
          <w:trHeight w:val="659"/>
        </w:trPr>
        <w:tc>
          <w:tcPr>
            <w:tcW w:w="3566" w:type="dxa"/>
            <w:vMerge w:val="restart"/>
            <w:shd w:val="clear" w:color="auto" w:fill="auto"/>
          </w:tcPr>
          <w:p w14:paraId="0A09075A" w14:textId="030312EB" w:rsidR="00C33A72" w:rsidRPr="0028493E" w:rsidRDefault="00000000" w:rsidP="00761997">
            <w:pPr>
              <w:spacing w:before="80" w:afterLines="80" w:after="192"/>
              <w:jc w:val="center"/>
              <w:rPr>
                <w:rStyle w:val="Hyperlink"/>
              </w:rPr>
            </w:pPr>
            <w:hyperlink r:id="rId16" w:history="1">
              <w:r w:rsidR="00C33A72" w:rsidRPr="0028493E">
                <w:rPr>
                  <w:rStyle w:val="Hyperlink"/>
                </w:rPr>
                <w:t>Street Maps</w:t>
              </w:r>
            </w:hyperlink>
          </w:p>
          <w:p w14:paraId="7C8AAF59" w14:textId="73FB6AA7"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Co-ordinates, compass directions, simple scale maps</w:t>
            </w:r>
            <w:r>
              <w:rPr>
                <w:rStyle w:val="Hyperlink"/>
                <w:color w:val="000000" w:themeColor="text1"/>
                <w:u w:val="none"/>
              </w:rPr>
              <w:t>)</w:t>
            </w:r>
            <w:hyperlink r:id="rId17" w:history="1"/>
          </w:p>
        </w:tc>
        <w:tc>
          <w:tcPr>
            <w:tcW w:w="3567" w:type="dxa"/>
            <w:vMerge w:val="restart"/>
            <w:shd w:val="clear" w:color="auto" w:fill="auto"/>
          </w:tcPr>
          <w:p w14:paraId="572C13B3" w14:textId="21EF93B1" w:rsidR="00C33A72" w:rsidRPr="0028493E" w:rsidRDefault="00000000" w:rsidP="00761997">
            <w:pPr>
              <w:spacing w:before="80" w:afterLines="80" w:after="192"/>
              <w:jc w:val="center"/>
              <w:rPr>
                <w:rStyle w:val="Hyperlink"/>
              </w:rPr>
            </w:pPr>
            <w:hyperlink r:id="rId18" w:history="1">
              <w:r w:rsidR="00C33A72" w:rsidRPr="0028493E">
                <w:rPr>
                  <w:rStyle w:val="Hyperlink"/>
                </w:rPr>
                <w:t>Eggs and a little bacon</w:t>
              </w:r>
            </w:hyperlink>
          </w:p>
          <w:p w14:paraId="6F75EE1A" w14:textId="4F998B2B" w:rsidR="00C33A72" w:rsidRPr="00761997" w:rsidRDefault="00C33A72" w:rsidP="00761997">
            <w:pPr>
              <w:spacing w:before="80" w:afterLines="80" w:after="192"/>
              <w:jc w:val="center"/>
              <w:rPr>
                <w:color w:val="000000" w:themeColor="text1"/>
              </w:rPr>
            </w:pPr>
            <w:r>
              <w:rPr>
                <w:rStyle w:val="Hyperlink"/>
                <w:color w:val="000000" w:themeColor="text1"/>
                <w:u w:val="none"/>
              </w:rPr>
              <w:t>(</w:t>
            </w:r>
            <w:r w:rsidRPr="0028493E">
              <w:rPr>
                <w:rStyle w:val="Hyperlink"/>
                <w:color w:val="000000" w:themeColor="text1"/>
                <w:u w:val="none"/>
              </w:rPr>
              <w:t>Multiplication and division of whole numbers</w:t>
            </w:r>
            <w:r>
              <w:rPr>
                <w:rStyle w:val="Hyperlink"/>
                <w:color w:val="000000" w:themeColor="text1"/>
                <w:u w:val="none"/>
              </w:rPr>
              <w:t>)</w:t>
            </w:r>
          </w:p>
        </w:tc>
        <w:tc>
          <w:tcPr>
            <w:tcW w:w="3566" w:type="dxa"/>
            <w:vMerge w:val="restart"/>
          </w:tcPr>
          <w:p w14:paraId="3D2B681A" w14:textId="7AAEE8DF" w:rsidR="00C33A72" w:rsidRPr="0028493E" w:rsidRDefault="00000000" w:rsidP="00761997">
            <w:pPr>
              <w:spacing w:before="80" w:afterLines="80" w:after="192"/>
              <w:jc w:val="center"/>
              <w:rPr>
                <w:rStyle w:val="Hyperlink"/>
              </w:rPr>
            </w:pPr>
            <w:hyperlink r:id="rId19" w:history="1">
              <w:r w:rsidR="00C33A72" w:rsidRPr="0028493E">
                <w:rPr>
                  <w:rStyle w:val="Hyperlink"/>
                </w:rPr>
                <w:t>Building patterns</w:t>
              </w:r>
            </w:hyperlink>
          </w:p>
          <w:p w14:paraId="1A3C568E" w14:textId="7C360C80"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Patterns and relationships</w:t>
            </w:r>
            <w:r>
              <w:rPr>
                <w:rStyle w:val="Hyperlink"/>
                <w:color w:val="000000" w:themeColor="text1"/>
                <w:u w:val="none"/>
              </w:rPr>
              <w:t>)</w:t>
            </w:r>
          </w:p>
        </w:tc>
        <w:tc>
          <w:tcPr>
            <w:tcW w:w="3567" w:type="dxa"/>
            <w:vMerge w:val="restart"/>
          </w:tcPr>
          <w:p w14:paraId="29821BDD" w14:textId="20C002B2" w:rsidR="00C33A72" w:rsidRPr="0028493E" w:rsidRDefault="00000000" w:rsidP="00761997">
            <w:pPr>
              <w:spacing w:before="80" w:afterLines="80" w:after="192"/>
              <w:jc w:val="center"/>
            </w:pPr>
            <w:hyperlink r:id="rId20" w:history="1">
              <w:r w:rsidR="00C33A72" w:rsidRPr="0028493E">
                <w:rPr>
                  <w:rStyle w:val="Hyperlink"/>
                </w:rPr>
                <w:t>Cups and Cubes</w:t>
              </w:r>
            </w:hyperlink>
          </w:p>
          <w:p w14:paraId="17D149D9" w14:textId="6C33C23B" w:rsidR="00C33A72" w:rsidRDefault="00C33A72" w:rsidP="00761997">
            <w:pPr>
              <w:spacing w:before="80" w:afterLines="80" w:after="192"/>
              <w:jc w:val="center"/>
            </w:pPr>
            <w:r>
              <w:t>(</w:t>
            </w:r>
            <w:r w:rsidRPr="0028493E">
              <w:t>Equations and expressions)</w:t>
            </w:r>
          </w:p>
        </w:tc>
      </w:tr>
      <w:tr w:rsidR="00C33A72" w14:paraId="12B38463" w14:textId="77777777" w:rsidTr="00A17176">
        <w:trPr>
          <w:trHeight w:val="659"/>
        </w:trPr>
        <w:tc>
          <w:tcPr>
            <w:tcW w:w="3566" w:type="dxa"/>
            <w:vMerge/>
            <w:shd w:val="clear" w:color="auto" w:fill="auto"/>
          </w:tcPr>
          <w:p w14:paraId="6CCE0654" w14:textId="5F743384" w:rsidR="00C33A72" w:rsidRDefault="00C33A72" w:rsidP="00761997">
            <w:pPr>
              <w:spacing w:before="80" w:afterLines="80" w:after="192"/>
              <w:jc w:val="center"/>
            </w:pPr>
          </w:p>
        </w:tc>
        <w:tc>
          <w:tcPr>
            <w:tcW w:w="3567" w:type="dxa"/>
            <w:vMerge/>
            <w:shd w:val="clear" w:color="auto" w:fill="auto"/>
          </w:tcPr>
          <w:p w14:paraId="36D5C76B" w14:textId="77777777" w:rsidR="00C33A72" w:rsidRDefault="00C33A72" w:rsidP="00761997">
            <w:pPr>
              <w:spacing w:before="80" w:afterLines="80" w:after="192"/>
              <w:jc w:val="center"/>
            </w:pPr>
          </w:p>
        </w:tc>
        <w:tc>
          <w:tcPr>
            <w:tcW w:w="3566" w:type="dxa"/>
            <w:vMerge/>
          </w:tcPr>
          <w:p w14:paraId="425013EF" w14:textId="1FA5414E" w:rsidR="00C33A72" w:rsidRDefault="00C33A72" w:rsidP="00761997">
            <w:pPr>
              <w:spacing w:before="80" w:afterLines="80" w:after="192"/>
              <w:jc w:val="center"/>
            </w:pPr>
          </w:p>
        </w:tc>
        <w:tc>
          <w:tcPr>
            <w:tcW w:w="3567" w:type="dxa"/>
            <w:vMerge/>
          </w:tcPr>
          <w:p w14:paraId="15199D48" w14:textId="0245A95F" w:rsidR="00C33A72" w:rsidRDefault="00C33A72" w:rsidP="00761997">
            <w:pPr>
              <w:spacing w:before="80" w:afterLines="80" w:after="192"/>
              <w:jc w:val="center"/>
            </w:pPr>
          </w:p>
        </w:tc>
      </w:tr>
      <w:tr w:rsidR="00C33A72" w14:paraId="7A7A496E" w14:textId="77777777" w:rsidTr="00A17176">
        <w:trPr>
          <w:trHeight w:val="640"/>
        </w:trPr>
        <w:tc>
          <w:tcPr>
            <w:tcW w:w="3566" w:type="dxa"/>
            <w:vMerge w:val="restart"/>
            <w:shd w:val="clear" w:color="auto" w:fill="auto"/>
          </w:tcPr>
          <w:p w14:paraId="3B3D05C0" w14:textId="293F1A2D" w:rsidR="00C33A72" w:rsidRPr="0028493E" w:rsidRDefault="00000000" w:rsidP="00761997">
            <w:pPr>
              <w:spacing w:before="80" w:afterLines="80" w:after="192"/>
              <w:jc w:val="center"/>
            </w:pPr>
            <w:hyperlink r:id="rId21" w:history="1">
              <w:r w:rsidR="00C33A72" w:rsidRPr="0028493E">
                <w:rPr>
                  <w:rStyle w:val="Hyperlink"/>
                </w:rPr>
                <w:t>Equality with multiplication and division</w:t>
              </w:r>
            </w:hyperlink>
          </w:p>
          <w:p w14:paraId="3FCC7359" w14:textId="0F377B3D" w:rsidR="00C33A72" w:rsidRDefault="00C33A72" w:rsidP="00761997">
            <w:pPr>
              <w:spacing w:before="80" w:afterLines="80" w:after="192"/>
              <w:jc w:val="center"/>
            </w:pPr>
            <w:r>
              <w:t>(</w:t>
            </w:r>
            <w:r w:rsidRPr="0028493E">
              <w:t>Properties of multiplication and division</w:t>
            </w:r>
            <w:r>
              <w:t>)</w:t>
            </w:r>
          </w:p>
        </w:tc>
        <w:tc>
          <w:tcPr>
            <w:tcW w:w="3567" w:type="dxa"/>
            <w:vMerge w:val="restart"/>
            <w:shd w:val="clear" w:color="auto" w:fill="auto"/>
          </w:tcPr>
          <w:p w14:paraId="46BDB2C1" w14:textId="745187C7" w:rsidR="00C33A72" w:rsidRPr="0028493E" w:rsidRDefault="00000000" w:rsidP="00761997">
            <w:pPr>
              <w:spacing w:before="80" w:afterLines="80" w:after="192"/>
              <w:jc w:val="center"/>
            </w:pPr>
            <w:hyperlink r:id="rId22" w:history="1">
              <w:r w:rsidR="00C33A72" w:rsidRPr="0028493E">
                <w:rPr>
                  <w:rStyle w:val="Hyperlink"/>
                </w:rPr>
                <w:t>What’s in the bag?</w:t>
              </w:r>
            </w:hyperlink>
          </w:p>
          <w:p w14:paraId="217206AF" w14:textId="1B519B0E" w:rsidR="00C33A72" w:rsidRDefault="00C33A72" w:rsidP="00761997">
            <w:pPr>
              <w:tabs>
                <w:tab w:val="left" w:pos="1080"/>
                <w:tab w:val="center" w:pos="1675"/>
              </w:tabs>
              <w:spacing w:before="80" w:afterLines="80" w:after="192"/>
            </w:pPr>
            <w:r>
              <w:tab/>
              <w:t>(</w:t>
            </w:r>
            <w:r>
              <w:tab/>
            </w:r>
            <w:r w:rsidRPr="0028493E">
              <w:t>Probability</w:t>
            </w:r>
            <w:r>
              <w:t>)</w:t>
            </w:r>
          </w:p>
        </w:tc>
        <w:tc>
          <w:tcPr>
            <w:tcW w:w="3566" w:type="dxa"/>
            <w:vMerge w:val="restart"/>
          </w:tcPr>
          <w:p w14:paraId="683EAFFF" w14:textId="23EEDD2B" w:rsidR="00C33A72" w:rsidRPr="00FF533B" w:rsidRDefault="00000000" w:rsidP="00761997">
            <w:pPr>
              <w:spacing w:before="80" w:afterLines="80" w:after="192"/>
              <w:jc w:val="center"/>
              <w:rPr>
                <w:rStyle w:val="Hyperlink"/>
                <w:color w:val="auto"/>
                <w:u w:val="none"/>
              </w:rPr>
            </w:pPr>
            <w:hyperlink r:id="rId23" w:history="1">
              <w:r w:rsidR="00C33A72" w:rsidRPr="0028493E">
                <w:rPr>
                  <w:rStyle w:val="Hyperlink"/>
                </w:rPr>
                <w:t>Making Benchmarks: Volume</w:t>
              </w:r>
            </w:hyperlink>
            <w:r w:rsidR="00C33A72" w:rsidRPr="0028493E">
              <w:t xml:space="preserve"> </w:t>
            </w:r>
            <w:r w:rsidR="00C33A72">
              <w:t xml:space="preserve"> </w:t>
            </w:r>
            <w:r w:rsidR="00C33A72" w:rsidRPr="0028493E">
              <w:t xml:space="preserve">or </w:t>
            </w:r>
            <w:hyperlink r:id="rId24" w:history="1">
              <w:r w:rsidR="009A5643">
                <w:rPr>
                  <w:rStyle w:val="Hyperlink"/>
                </w:rPr>
                <w:t>Morning tea</w:t>
              </w:r>
              <w:r w:rsidR="00C33A72" w:rsidRPr="0028493E">
                <w:rPr>
                  <w:rStyle w:val="Hyperlink"/>
                </w:rPr>
                <w:t xml:space="preserve"> Volumes</w:t>
              </w:r>
            </w:hyperlink>
          </w:p>
          <w:p w14:paraId="2E7729E3" w14:textId="3CF9A0C5" w:rsidR="00C33A72" w:rsidRDefault="00C33A72" w:rsidP="00761997">
            <w:pPr>
              <w:spacing w:before="80" w:afterLines="80" w:after="192"/>
              <w:jc w:val="center"/>
            </w:pPr>
            <w:r>
              <w:t>(</w:t>
            </w:r>
            <w:r w:rsidRPr="0028493E">
              <w:t>Measuring volume</w:t>
            </w:r>
            <w:r>
              <w:t>)</w:t>
            </w:r>
          </w:p>
        </w:tc>
        <w:tc>
          <w:tcPr>
            <w:tcW w:w="3567" w:type="dxa"/>
            <w:vMerge w:val="restart"/>
          </w:tcPr>
          <w:p w14:paraId="325BBAA5" w14:textId="523728C1" w:rsidR="00C33A72" w:rsidRPr="0028493E" w:rsidRDefault="00000000" w:rsidP="00761997">
            <w:pPr>
              <w:spacing w:before="80" w:afterLines="80" w:after="192"/>
              <w:jc w:val="center"/>
              <w:rPr>
                <w:rStyle w:val="Hyperlink"/>
              </w:rPr>
            </w:pPr>
            <w:hyperlink r:id="rId25" w:history="1">
              <w:r w:rsidR="00C33A72" w:rsidRPr="0028493E">
                <w:rPr>
                  <w:rStyle w:val="Hyperlink"/>
                </w:rPr>
                <w:t xml:space="preserve">Getting the </w:t>
              </w:r>
              <w:r w:rsidR="00C33A72">
                <w:rPr>
                  <w:rStyle w:val="Hyperlink"/>
                </w:rPr>
                <w:t>p</w:t>
              </w:r>
              <w:r w:rsidR="00C33A72" w:rsidRPr="0028493E">
                <w:rPr>
                  <w:rStyle w:val="Hyperlink"/>
                </w:rPr>
                <w:t>oint</w:t>
              </w:r>
            </w:hyperlink>
          </w:p>
          <w:p w14:paraId="2C8EB9CA" w14:textId="15E4CE1B"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Decimal fractions)</w:t>
            </w:r>
          </w:p>
        </w:tc>
      </w:tr>
      <w:tr w:rsidR="00C33A72" w14:paraId="05662A50" w14:textId="77777777" w:rsidTr="00761997">
        <w:trPr>
          <w:trHeight w:val="653"/>
        </w:trPr>
        <w:tc>
          <w:tcPr>
            <w:tcW w:w="3566" w:type="dxa"/>
            <w:vMerge/>
          </w:tcPr>
          <w:p w14:paraId="3BFA3286" w14:textId="77777777" w:rsidR="00C33A72" w:rsidRDefault="00C33A72" w:rsidP="00761997">
            <w:pPr>
              <w:spacing w:before="80" w:afterLines="80" w:after="192"/>
              <w:jc w:val="center"/>
            </w:pPr>
          </w:p>
        </w:tc>
        <w:tc>
          <w:tcPr>
            <w:tcW w:w="3567" w:type="dxa"/>
            <w:vMerge/>
            <w:shd w:val="clear" w:color="auto" w:fill="auto"/>
          </w:tcPr>
          <w:p w14:paraId="08710B43" w14:textId="77777777" w:rsidR="00C33A72" w:rsidRDefault="00C33A72" w:rsidP="00761997">
            <w:pPr>
              <w:spacing w:before="80" w:afterLines="80" w:after="192"/>
              <w:jc w:val="center"/>
            </w:pPr>
          </w:p>
        </w:tc>
        <w:tc>
          <w:tcPr>
            <w:tcW w:w="3566" w:type="dxa"/>
            <w:vMerge/>
          </w:tcPr>
          <w:p w14:paraId="73C9AEE0" w14:textId="7B43D4CA" w:rsidR="00C33A72" w:rsidRDefault="00C33A72" w:rsidP="00761997">
            <w:pPr>
              <w:spacing w:before="80" w:afterLines="80" w:after="192"/>
              <w:jc w:val="center"/>
            </w:pPr>
          </w:p>
        </w:tc>
        <w:tc>
          <w:tcPr>
            <w:tcW w:w="3567" w:type="dxa"/>
            <w:vMerge/>
          </w:tcPr>
          <w:p w14:paraId="1B46C7A8" w14:textId="3D737513" w:rsidR="00C33A72" w:rsidRDefault="00C33A72" w:rsidP="00761997">
            <w:pPr>
              <w:spacing w:before="80" w:afterLines="80" w:after="192"/>
              <w:jc w:val="center"/>
            </w:pPr>
          </w:p>
        </w:tc>
      </w:tr>
      <w:tr w:rsidR="00C33A72" w14:paraId="3764FC79" w14:textId="77777777" w:rsidTr="00A17176">
        <w:trPr>
          <w:trHeight w:val="640"/>
        </w:trPr>
        <w:tc>
          <w:tcPr>
            <w:tcW w:w="3566" w:type="dxa"/>
            <w:vMerge w:val="restart"/>
          </w:tcPr>
          <w:p w14:paraId="34BDF1F7" w14:textId="0748E7D7" w:rsidR="00C33A72" w:rsidRPr="0028493E" w:rsidRDefault="00000000" w:rsidP="00761997">
            <w:pPr>
              <w:spacing w:before="80" w:afterLines="80" w:after="192"/>
              <w:jc w:val="center"/>
              <w:rPr>
                <w:rStyle w:val="Hyperlink"/>
              </w:rPr>
            </w:pPr>
            <w:hyperlink r:id="rId26" w:history="1">
              <w:r w:rsidR="00C33A72" w:rsidRPr="0028493E">
                <w:rPr>
                  <w:rStyle w:val="Hyperlink"/>
                </w:rPr>
                <w:t>Carrots</w:t>
              </w:r>
            </w:hyperlink>
            <w:r w:rsidR="00C33A72" w:rsidRPr="0028493E">
              <w:t xml:space="preserve"> or </w:t>
            </w:r>
            <w:hyperlink r:id="rId27" w:history="1">
              <w:r w:rsidR="00C33A72" w:rsidRPr="0028493E">
                <w:rPr>
                  <w:rStyle w:val="Hyperlink"/>
                </w:rPr>
                <w:t>Fridge Pickers</w:t>
              </w:r>
            </w:hyperlink>
          </w:p>
          <w:p w14:paraId="1CC311B2" w14:textId="5A1EF120" w:rsidR="00C33A72" w:rsidRDefault="00C33A72" w:rsidP="00761997">
            <w:pPr>
              <w:spacing w:before="80" w:afterLines="80" w:after="192"/>
              <w:jc w:val="center"/>
            </w:pPr>
            <w:r>
              <w:rPr>
                <w:rStyle w:val="Hyperlink"/>
                <w:color w:val="000000" w:themeColor="text1"/>
                <w:u w:val="none"/>
              </w:rPr>
              <w:t>(</w:t>
            </w:r>
            <w:r w:rsidRPr="0028493E">
              <w:rPr>
                <w:rStyle w:val="Hyperlink"/>
                <w:color w:val="000000" w:themeColor="text1"/>
                <w:u w:val="none"/>
              </w:rPr>
              <w:t>Statistical inquiry cycle, graphing and representing data</w:t>
            </w:r>
            <w:r>
              <w:rPr>
                <w:rStyle w:val="Hyperlink"/>
                <w:color w:val="000000" w:themeColor="text1"/>
                <w:u w:val="none"/>
              </w:rPr>
              <w:t>)</w:t>
            </w:r>
          </w:p>
        </w:tc>
        <w:tc>
          <w:tcPr>
            <w:tcW w:w="3567" w:type="dxa"/>
            <w:vMerge w:val="restart"/>
            <w:shd w:val="clear" w:color="auto" w:fill="auto"/>
          </w:tcPr>
          <w:p w14:paraId="73CA2A5D" w14:textId="5AE006BB" w:rsidR="00C33A72" w:rsidRPr="0028493E" w:rsidRDefault="00000000" w:rsidP="00761997">
            <w:pPr>
              <w:spacing w:before="80" w:afterLines="80" w:after="192"/>
              <w:jc w:val="center"/>
              <w:rPr>
                <w:rStyle w:val="Hyperlink"/>
              </w:rPr>
            </w:pPr>
            <w:hyperlink r:id="rId28" w:history="1">
              <w:proofErr w:type="spellStart"/>
              <w:r w:rsidR="00C33A72" w:rsidRPr="0028493E">
                <w:rPr>
                  <w:rStyle w:val="Hyperlink"/>
                </w:rPr>
                <w:t>Matariki</w:t>
              </w:r>
              <w:proofErr w:type="spellEnd"/>
            </w:hyperlink>
            <w:r w:rsidR="00C33A72" w:rsidRPr="0028493E">
              <w:rPr>
                <w:rStyle w:val="Hyperlink"/>
              </w:rPr>
              <w:t xml:space="preserve"> L</w:t>
            </w:r>
            <w:r w:rsidR="00C33A72">
              <w:rPr>
                <w:rStyle w:val="Hyperlink"/>
              </w:rPr>
              <w:t xml:space="preserve">evel </w:t>
            </w:r>
            <w:r w:rsidR="00C33A72" w:rsidRPr="0028493E">
              <w:rPr>
                <w:rStyle w:val="Hyperlink"/>
              </w:rPr>
              <w:t>3</w:t>
            </w:r>
          </w:p>
          <w:p w14:paraId="028AA1E6" w14:textId="4B974167" w:rsidR="00C33A72" w:rsidRPr="005B33B0" w:rsidRDefault="00C33A72" w:rsidP="00761997">
            <w:pPr>
              <w:spacing w:before="80" w:afterLines="80" w:after="192"/>
              <w:jc w:val="center"/>
            </w:pPr>
            <w:r>
              <w:t>(Thematic unit)</w:t>
            </w:r>
          </w:p>
        </w:tc>
        <w:tc>
          <w:tcPr>
            <w:tcW w:w="3566" w:type="dxa"/>
            <w:vMerge w:val="restart"/>
          </w:tcPr>
          <w:p w14:paraId="69C09BDB" w14:textId="2EDC7181" w:rsidR="00C33A72" w:rsidRPr="0028493E" w:rsidRDefault="00000000" w:rsidP="00761997">
            <w:pPr>
              <w:spacing w:before="80" w:afterLines="80" w:after="192"/>
              <w:jc w:val="center"/>
              <w:rPr>
                <w:rStyle w:val="Hyperlink"/>
              </w:rPr>
            </w:pPr>
            <w:hyperlink r:id="rId29" w:history="1">
              <w:r w:rsidR="00C33A72" w:rsidRPr="0028493E">
                <w:rPr>
                  <w:rStyle w:val="Hyperlink"/>
                </w:rPr>
                <w:t>Dividing Fractions</w:t>
              </w:r>
            </w:hyperlink>
          </w:p>
          <w:p w14:paraId="1B71ABEE" w14:textId="38D82D08" w:rsidR="00C33A72" w:rsidRDefault="00C33A72" w:rsidP="00761997">
            <w:pPr>
              <w:spacing w:before="80" w:afterLines="80" w:after="192"/>
              <w:jc w:val="center"/>
            </w:pPr>
            <w:r>
              <w:t>(</w:t>
            </w:r>
            <w:r w:rsidRPr="0028493E">
              <w:t>Division with fraction answers</w:t>
            </w:r>
            <w:r>
              <w:t xml:space="preserve"> (</w:t>
            </w:r>
            <w:r w:rsidRPr="0028493E">
              <w:t>quotients)</w:t>
            </w:r>
            <w:r>
              <w:t>)</w:t>
            </w:r>
          </w:p>
        </w:tc>
        <w:tc>
          <w:tcPr>
            <w:tcW w:w="3567" w:type="dxa"/>
            <w:vMerge w:val="restart"/>
          </w:tcPr>
          <w:p w14:paraId="40BF555D" w14:textId="33F3BDCF" w:rsidR="00C33A72" w:rsidRPr="0028493E" w:rsidRDefault="00000000" w:rsidP="00761997">
            <w:pPr>
              <w:spacing w:before="80" w:afterLines="80" w:after="192"/>
              <w:jc w:val="center"/>
              <w:rPr>
                <w:rStyle w:val="Hyperlink"/>
              </w:rPr>
            </w:pPr>
            <w:hyperlink r:id="rId30" w:history="1">
              <w:proofErr w:type="spellStart"/>
              <w:r w:rsidR="00C33A72" w:rsidRPr="0028493E">
                <w:rPr>
                  <w:rStyle w:val="Hyperlink"/>
                </w:rPr>
                <w:t>Polyhedra</w:t>
              </w:r>
              <w:proofErr w:type="spellEnd"/>
              <w:r w:rsidR="00C33A72" w:rsidRPr="0028493E">
                <w:rPr>
                  <w:rStyle w:val="Hyperlink"/>
                </w:rPr>
                <w:t xml:space="preserve"> </w:t>
              </w:r>
              <w:r w:rsidR="00C33A72">
                <w:rPr>
                  <w:rStyle w:val="Hyperlink"/>
                </w:rPr>
                <w:t>(</w:t>
              </w:r>
              <w:r w:rsidR="00C33A72" w:rsidRPr="0028493E">
                <w:rPr>
                  <w:rStyle w:val="Hyperlink"/>
                </w:rPr>
                <w:t>3D Shape</w:t>
              </w:r>
              <w:r w:rsidR="00C33A72">
                <w:rPr>
                  <w:rStyle w:val="Hyperlink"/>
                </w:rPr>
                <w:t>s)</w:t>
              </w:r>
            </w:hyperlink>
          </w:p>
          <w:p w14:paraId="72DD85DA" w14:textId="3E4DE025" w:rsidR="00C33A72" w:rsidRDefault="00C33A72" w:rsidP="00761997">
            <w:pPr>
              <w:spacing w:before="80" w:afterLines="80" w:after="192"/>
              <w:jc w:val="center"/>
            </w:pPr>
            <w:r>
              <w:t>(</w:t>
            </w:r>
            <w:r w:rsidRPr="0028493E">
              <w:t>Properties of 3D shapes</w:t>
            </w:r>
            <w:r>
              <w:t>)</w:t>
            </w:r>
          </w:p>
        </w:tc>
      </w:tr>
      <w:tr w:rsidR="00C33A72" w14:paraId="05D54E5D" w14:textId="77777777" w:rsidTr="00A17176">
        <w:trPr>
          <w:trHeight w:val="659"/>
        </w:trPr>
        <w:tc>
          <w:tcPr>
            <w:tcW w:w="3566" w:type="dxa"/>
            <w:vMerge/>
          </w:tcPr>
          <w:p w14:paraId="1ED670DA" w14:textId="77777777" w:rsidR="00C33A72" w:rsidRDefault="00C33A72" w:rsidP="00761997">
            <w:pPr>
              <w:spacing w:before="80" w:afterLines="80" w:after="192"/>
              <w:jc w:val="center"/>
            </w:pPr>
          </w:p>
        </w:tc>
        <w:tc>
          <w:tcPr>
            <w:tcW w:w="3567" w:type="dxa"/>
            <w:vMerge/>
            <w:shd w:val="clear" w:color="auto" w:fill="auto"/>
          </w:tcPr>
          <w:p w14:paraId="23B429CC" w14:textId="77777777" w:rsidR="00C33A72" w:rsidRDefault="00C33A72" w:rsidP="00761997">
            <w:pPr>
              <w:spacing w:before="80" w:afterLines="80" w:after="192"/>
              <w:jc w:val="center"/>
            </w:pPr>
          </w:p>
        </w:tc>
        <w:tc>
          <w:tcPr>
            <w:tcW w:w="3566" w:type="dxa"/>
            <w:vMerge/>
          </w:tcPr>
          <w:p w14:paraId="51B43F57" w14:textId="77777777" w:rsidR="00C33A72" w:rsidRDefault="00C33A72" w:rsidP="00761997">
            <w:pPr>
              <w:spacing w:before="80" w:afterLines="80" w:after="192"/>
              <w:jc w:val="center"/>
            </w:pPr>
          </w:p>
        </w:tc>
        <w:tc>
          <w:tcPr>
            <w:tcW w:w="3567" w:type="dxa"/>
            <w:vMerge/>
          </w:tcPr>
          <w:p w14:paraId="0AEECA58" w14:textId="77777777" w:rsidR="00C33A72" w:rsidRDefault="00C33A72" w:rsidP="00761997">
            <w:pPr>
              <w:spacing w:before="80" w:afterLines="80" w:after="192"/>
              <w:jc w:val="center"/>
            </w:pPr>
          </w:p>
        </w:tc>
      </w:tr>
    </w:tbl>
    <w:p w14:paraId="2A6570A2" w14:textId="77777777" w:rsidR="00761997" w:rsidRDefault="00761997" w:rsidP="00C33A72"/>
    <w:p w14:paraId="6EB00B0E" w14:textId="29B546AF" w:rsidR="00C33A72" w:rsidRPr="00C33A72" w:rsidRDefault="00C33A72" w:rsidP="00C33A72">
      <w:r>
        <w:t>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sufficient teaching for a full year.</w:t>
      </w:r>
    </w:p>
    <w:sectPr w:rsidR="00C33A72" w:rsidRPr="00C33A72" w:rsidSect="00761997">
      <w:headerReference w:type="default" r:id="rId31"/>
      <w:footerReference w:type="default" r:id="rId32"/>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AE6E" w14:textId="77777777" w:rsidR="007B0A35" w:rsidRDefault="007B0A35" w:rsidP="00C33A72">
      <w:pPr>
        <w:spacing w:after="0" w:line="240" w:lineRule="auto"/>
      </w:pPr>
      <w:r>
        <w:separator/>
      </w:r>
    </w:p>
  </w:endnote>
  <w:endnote w:type="continuationSeparator" w:id="0">
    <w:p w14:paraId="5BBBDDE5" w14:textId="77777777" w:rsidR="007B0A35" w:rsidRDefault="007B0A35" w:rsidP="00C3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F24E" w14:textId="70C6FF47" w:rsidR="00C33A72" w:rsidRDefault="00C33A72">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xml:space="preserve">. All linked resources on </w:t>
    </w:r>
    <w:proofErr w:type="spellStart"/>
    <w:r>
      <w:rPr>
        <w:color w:val="A6A6A6" w:themeColor="background1" w:themeShade="A6"/>
      </w:rPr>
      <w:t>nzmaths</w:t>
    </w:r>
    <w:proofErr w:type="spellEnd"/>
    <w:r>
      <w:rPr>
        <w:color w:val="A6A6A6" w:themeColor="background1" w:themeShade="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7794" w14:textId="77777777" w:rsidR="007B0A35" w:rsidRDefault="007B0A35" w:rsidP="00C33A72">
      <w:pPr>
        <w:spacing w:after="0" w:line="240" w:lineRule="auto"/>
      </w:pPr>
      <w:r>
        <w:separator/>
      </w:r>
    </w:p>
  </w:footnote>
  <w:footnote w:type="continuationSeparator" w:id="0">
    <w:p w14:paraId="2DF492F9" w14:textId="77777777" w:rsidR="007B0A35" w:rsidRDefault="007B0A35" w:rsidP="00C3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0287" w14:textId="098CE375" w:rsidR="00C33A72" w:rsidRPr="00C33A72" w:rsidRDefault="00C33A72" w:rsidP="00C33A72">
    <w:pPr>
      <w:pStyle w:val="Header"/>
      <w:jc w:val="right"/>
    </w:pPr>
    <w:r>
      <w:rPr>
        <w:noProof/>
      </w:rPr>
      <w:drawing>
        <wp:anchor distT="0" distB="0" distL="114300" distR="114300" simplePos="0" relativeHeight="251658240" behindDoc="0" locked="0" layoutInCell="1" allowOverlap="1" wp14:anchorId="7CFEB91F" wp14:editId="5D41B7B3">
          <wp:simplePos x="0" y="0"/>
          <wp:positionH relativeFrom="column">
            <wp:posOffset>7599872</wp:posOffset>
          </wp:positionH>
          <wp:positionV relativeFrom="paragraph">
            <wp:posOffset>-1006</wp:posOffset>
          </wp:positionV>
          <wp:extent cx="2175510" cy="52197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6"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911464">
    <w:abstractNumId w:val="19"/>
  </w:num>
  <w:num w:numId="2" w16cid:durableId="1328048464">
    <w:abstractNumId w:val="11"/>
  </w:num>
  <w:num w:numId="3" w16cid:durableId="1570770934">
    <w:abstractNumId w:val="0"/>
  </w:num>
  <w:num w:numId="4" w16cid:durableId="866718140">
    <w:abstractNumId w:val="10"/>
  </w:num>
  <w:num w:numId="5" w16cid:durableId="1078409032">
    <w:abstractNumId w:val="16"/>
  </w:num>
  <w:num w:numId="6" w16cid:durableId="2060785661">
    <w:abstractNumId w:val="21"/>
  </w:num>
  <w:num w:numId="7" w16cid:durableId="1093473213">
    <w:abstractNumId w:val="14"/>
  </w:num>
  <w:num w:numId="8" w16cid:durableId="756488750">
    <w:abstractNumId w:val="1"/>
  </w:num>
  <w:num w:numId="9" w16cid:durableId="845752841">
    <w:abstractNumId w:val="2"/>
  </w:num>
  <w:num w:numId="10" w16cid:durableId="258872400">
    <w:abstractNumId w:val="12"/>
  </w:num>
  <w:num w:numId="11" w16cid:durableId="935987722">
    <w:abstractNumId w:val="18"/>
  </w:num>
  <w:num w:numId="12" w16cid:durableId="875584725">
    <w:abstractNumId w:val="20"/>
  </w:num>
  <w:num w:numId="13" w16cid:durableId="39595669">
    <w:abstractNumId w:val="7"/>
  </w:num>
  <w:num w:numId="14" w16cid:durableId="1407603408">
    <w:abstractNumId w:val="15"/>
  </w:num>
  <w:num w:numId="15" w16cid:durableId="921718205">
    <w:abstractNumId w:val="13"/>
  </w:num>
  <w:num w:numId="16" w16cid:durableId="1817144875">
    <w:abstractNumId w:val="4"/>
  </w:num>
  <w:num w:numId="17" w16cid:durableId="1921258251">
    <w:abstractNumId w:val="6"/>
  </w:num>
  <w:num w:numId="18" w16cid:durableId="1498764565">
    <w:abstractNumId w:val="9"/>
  </w:num>
  <w:num w:numId="19" w16cid:durableId="1063334409">
    <w:abstractNumId w:val="17"/>
  </w:num>
  <w:num w:numId="20" w16cid:durableId="1726758723">
    <w:abstractNumId w:val="3"/>
  </w:num>
  <w:num w:numId="21" w16cid:durableId="277614300">
    <w:abstractNumId w:val="8"/>
  </w:num>
  <w:num w:numId="22" w16cid:durableId="1266301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0012"/>
    <w:rsid w:val="00014E1A"/>
    <w:rsid w:val="00016C51"/>
    <w:rsid w:val="0003177C"/>
    <w:rsid w:val="000A6A28"/>
    <w:rsid w:val="00136112"/>
    <w:rsid w:val="00156E78"/>
    <w:rsid w:val="001B0A5D"/>
    <w:rsid w:val="001D77D7"/>
    <w:rsid w:val="002210B4"/>
    <w:rsid w:val="002870C8"/>
    <w:rsid w:val="00292319"/>
    <w:rsid w:val="0035227E"/>
    <w:rsid w:val="003E2AF4"/>
    <w:rsid w:val="00403C49"/>
    <w:rsid w:val="004114F3"/>
    <w:rsid w:val="00431276"/>
    <w:rsid w:val="00487FCF"/>
    <w:rsid w:val="00497EED"/>
    <w:rsid w:val="004B4544"/>
    <w:rsid w:val="00567C7D"/>
    <w:rsid w:val="005B33B0"/>
    <w:rsid w:val="0062232A"/>
    <w:rsid w:val="00687932"/>
    <w:rsid w:val="006B1D11"/>
    <w:rsid w:val="006C3124"/>
    <w:rsid w:val="006C563F"/>
    <w:rsid w:val="006D428D"/>
    <w:rsid w:val="006E398E"/>
    <w:rsid w:val="00707B0C"/>
    <w:rsid w:val="00722F53"/>
    <w:rsid w:val="00757FF0"/>
    <w:rsid w:val="00761997"/>
    <w:rsid w:val="0077202E"/>
    <w:rsid w:val="007B0A35"/>
    <w:rsid w:val="008162B6"/>
    <w:rsid w:val="008304C1"/>
    <w:rsid w:val="00830D74"/>
    <w:rsid w:val="00845A02"/>
    <w:rsid w:val="008B5DBB"/>
    <w:rsid w:val="008C519F"/>
    <w:rsid w:val="008E0F23"/>
    <w:rsid w:val="009129A1"/>
    <w:rsid w:val="00933F60"/>
    <w:rsid w:val="009345BC"/>
    <w:rsid w:val="009554C4"/>
    <w:rsid w:val="009A5643"/>
    <w:rsid w:val="009D1F60"/>
    <w:rsid w:val="00A03985"/>
    <w:rsid w:val="00A17176"/>
    <w:rsid w:val="00A356C0"/>
    <w:rsid w:val="00AE0FEF"/>
    <w:rsid w:val="00AE230B"/>
    <w:rsid w:val="00AF79E2"/>
    <w:rsid w:val="00B815B5"/>
    <w:rsid w:val="00B91F4B"/>
    <w:rsid w:val="00BD046C"/>
    <w:rsid w:val="00BD17ED"/>
    <w:rsid w:val="00C2559E"/>
    <w:rsid w:val="00C33A72"/>
    <w:rsid w:val="00C45D3B"/>
    <w:rsid w:val="00C8712A"/>
    <w:rsid w:val="00CD210E"/>
    <w:rsid w:val="00D30517"/>
    <w:rsid w:val="00D83645"/>
    <w:rsid w:val="00D9217E"/>
    <w:rsid w:val="00DA0368"/>
    <w:rsid w:val="00DB2B3E"/>
    <w:rsid w:val="00E125EF"/>
    <w:rsid w:val="00E276A4"/>
    <w:rsid w:val="00E477B1"/>
    <w:rsid w:val="00E514A5"/>
    <w:rsid w:val="00EA7CBD"/>
    <w:rsid w:val="00EB05CE"/>
    <w:rsid w:val="00EB3F5C"/>
    <w:rsid w:val="00EF5E54"/>
    <w:rsid w:val="00F579EC"/>
    <w:rsid w:val="00FB5155"/>
    <w:rsid w:val="00FF53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character" w:styleId="FollowedHyperlink">
    <w:name w:val="FollowedHyperlink"/>
    <w:basedOn w:val="DefaultParagraphFont"/>
    <w:uiPriority w:val="99"/>
    <w:semiHidden/>
    <w:unhideWhenUsed/>
    <w:rsid w:val="00EA7CBD"/>
    <w:rPr>
      <w:color w:val="954F72" w:themeColor="followedHyperlink"/>
      <w:u w:val="single"/>
    </w:rPr>
  </w:style>
  <w:style w:type="paragraph" w:styleId="Header">
    <w:name w:val="header"/>
    <w:basedOn w:val="Normal"/>
    <w:link w:val="HeaderChar"/>
    <w:uiPriority w:val="99"/>
    <w:unhideWhenUsed/>
    <w:rsid w:val="00C3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72"/>
  </w:style>
  <w:style w:type="paragraph" w:styleId="Footer">
    <w:name w:val="footer"/>
    <w:basedOn w:val="Normal"/>
    <w:link w:val="FooterChar"/>
    <w:uiPriority w:val="99"/>
    <w:unhideWhenUsed/>
    <w:rsid w:val="00C3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1136" TargetMode="External"/><Relationship Id="rId13" Type="http://schemas.openxmlformats.org/officeDocument/2006/relationships/hyperlink" Target="https://nzmaths.co.nz/node/35378" TargetMode="External"/><Relationship Id="rId18" Type="http://schemas.openxmlformats.org/officeDocument/2006/relationships/hyperlink" Target="https://nzmaths.co.nz/node/35926" TargetMode="External"/><Relationship Id="rId26" Type="http://schemas.openxmlformats.org/officeDocument/2006/relationships/hyperlink" Target="https://nzmaths.co.nz/node/158" TargetMode="External"/><Relationship Id="rId3" Type="http://schemas.openxmlformats.org/officeDocument/2006/relationships/styles" Target="styles.xml"/><Relationship Id="rId21" Type="http://schemas.openxmlformats.org/officeDocument/2006/relationships/hyperlink" Target="https://nzmaths.co.nz/node/374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zmaths.co.nz/node/37888" TargetMode="External"/><Relationship Id="rId17" Type="http://schemas.openxmlformats.org/officeDocument/2006/relationships/hyperlink" Target="https://nzmaths.co.nz/resource/location-location" TargetMode="External"/><Relationship Id="rId25" Type="http://schemas.openxmlformats.org/officeDocument/2006/relationships/hyperlink" Target="https://nzmaths.co.nz/node/8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zmaths.co.nz/node/6333" TargetMode="External"/><Relationship Id="rId20" Type="http://schemas.openxmlformats.org/officeDocument/2006/relationships/hyperlink" Target="https://nzmaths.co.nz/node/386" TargetMode="External"/><Relationship Id="rId29" Type="http://schemas.openxmlformats.org/officeDocument/2006/relationships/hyperlink" Target="https://nzmaths.co.nz/node/16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436" TargetMode="External"/><Relationship Id="rId24" Type="http://schemas.openxmlformats.org/officeDocument/2006/relationships/hyperlink" Target="https://nzmaths.co.nz/node/43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zmaths.co.nz/node/6291" TargetMode="External"/><Relationship Id="rId23" Type="http://schemas.openxmlformats.org/officeDocument/2006/relationships/hyperlink" Target="https://nzmaths.co.nz/node/434" TargetMode="External"/><Relationship Id="rId28" Type="http://schemas.openxmlformats.org/officeDocument/2006/relationships/hyperlink" Target="https://nzmaths.co.nz/node/27052" TargetMode="External"/><Relationship Id="rId10" Type="http://schemas.openxmlformats.org/officeDocument/2006/relationships/hyperlink" Target="https://nzmaths.co.nz/node/813" TargetMode="External"/><Relationship Id="rId19" Type="http://schemas.openxmlformats.org/officeDocument/2006/relationships/hyperlink" Target="https://nzmaths.co.nz/node/3731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zmaths.co.nz/node/27715" TargetMode="External"/><Relationship Id="rId14" Type="http://schemas.openxmlformats.org/officeDocument/2006/relationships/hyperlink" Target="https://nzmaths.co.nz/node/27740" TargetMode="External"/><Relationship Id="rId22" Type="http://schemas.openxmlformats.org/officeDocument/2006/relationships/hyperlink" Target="https://nzmaths.co.nz/node/131" TargetMode="External"/><Relationship Id="rId27" Type="http://schemas.openxmlformats.org/officeDocument/2006/relationships/hyperlink" Target="https://nzmaths.co.nz/node/156" TargetMode="External"/><Relationship Id="rId30" Type="http://schemas.openxmlformats.org/officeDocument/2006/relationships/hyperlink" Target="https://nzmaths.co.nz/node/354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5A14-961E-4D6F-B120-E827A1D9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12</cp:revision>
  <cp:lastPrinted>2020-12-02T22:03:00Z</cp:lastPrinted>
  <dcterms:created xsi:type="dcterms:W3CDTF">2020-11-13T01:41:00Z</dcterms:created>
  <dcterms:modified xsi:type="dcterms:W3CDTF">2022-10-26T21:31:00Z</dcterms:modified>
</cp:coreProperties>
</file>